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spacing w:line="360" w:lineRule="auto"/>
        <w:jc w:val="center"/>
        <w:rPr>
          <w:rFonts w:hint="eastAsia"/>
          <w:b/>
          <w:bCs/>
          <w:sz w:val="24"/>
          <w:szCs w:val="24"/>
          <w:lang w:val="en-US" w:eastAsia="zh-CN"/>
        </w:rPr>
      </w:pPr>
      <w:r>
        <w:rPr>
          <w:rFonts w:hint="eastAsia"/>
          <w:b/>
          <w:bCs/>
          <w:sz w:val="24"/>
          <w:szCs w:val="24"/>
          <w:lang w:eastAsia="zh-CN"/>
        </w:rPr>
        <w:t>律师学院</w:t>
      </w:r>
      <w:r>
        <w:rPr>
          <w:rFonts w:hint="eastAsia"/>
          <w:b/>
          <w:bCs/>
          <w:sz w:val="24"/>
          <w:szCs w:val="24"/>
          <w:lang w:val="en-US" w:eastAsia="zh-CN"/>
        </w:rPr>
        <w:t>2015年年度小结</w:t>
      </w:r>
    </w:p>
    <w:p>
      <w:pPr>
        <w:spacing w:line="360" w:lineRule="auto"/>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律师学院与2015年顺利完成年初制定的工作计划，现将培训数据汇报如下：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律师学院举办申请律师实习人员培训班6期，培训实习律师1944名；举办律师双休日讲座10场，参训人数9550名；举办远郊律师培训班2期，参训人数350名；青年律师拓展培训班2期，参训人数240人；律师事务所主任及合伙人培训班1期，参训人数100人；律师实务和专题讲座及培训班16场，参训人数2280人。其中依法治国系列论坛讲座6场，参训人数2250人。举办“百千千工程”专项培训班1期，参训人数117名。共计组织培训39场，培训律师14504人，培训课时达1232课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rPr>
      </w:pPr>
      <w:bookmarkStart w:id="0" w:name="_GoBack"/>
      <w:bookmarkEnd w:id="0"/>
      <w:r>
        <w:rPr>
          <w:rFonts w:hint="eastAsia"/>
          <w:sz w:val="24"/>
          <w:szCs w:val="24"/>
          <w:lang w:val="en-US" w:eastAsia="zh-CN"/>
        </w:rPr>
        <w:t>另外，</w:t>
      </w:r>
      <w:r>
        <w:rPr>
          <w:rFonts w:hint="eastAsia"/>
          <w:sz w:val="24"/>
          <w:szCs w:val="24"/>
          <w:lang w:eastAsia="zh-CN"/>
        </w:rPr>
        <w:t>选派律师赴新疆授课</w:t>
      </w:r>
      <w:r>
        <w:rPr>
          <w:rFonts w:hint="eastAsia"/>
          <w:sz w:val="24"/>
          <w:szCs w:val="24"/>
          <w:lang w:val="en-US" w:eastAsia="zh-CN"/>
        </w:rPr>
        <w:t>8场，赴山西左权县授课4场。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eastAsia="zh-CN"/>
        </w:rPr>
      </w:pPr>
      <w:r>
        <w:rPr>
          <w:rFonts w:hint="eastAsia"/>
          <w:sz w:val="24"/>
          <w:szCs w:val="24"/>
          <w:lang w:eastAsia="zh-CN"/>
        </w:rPr>
        <w:t>回顾一年的工作，总结八个字：深化合作，继往开来。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eastAsia="zh-CN"/>
        </w:rPr>
      </w:pPr>
      <w:r>
        <w:rPr>
          <w:rFonts w:hint="eastAsia"/>
          <w:sz w:val="24"/>
          <w:szCs w:val="24"/>
          <w:lang w:eastAsia="zh-CN"/>
        </w:rPr>
        <w:t>律师学院在</w:t>
      </w:r>
      <w:r>
        <w:rPr>
          <w:rFonts w:hint="eastAsia"/>
          <w:sz w:val="24"/>
          <w:szCs w:val="24"/>
          <w:lang w:val="en-US" w:eastAsia="zh-CN"/>
        </w:rPr>
        <w:t>2015年</w:t>
      </w:r>
      <w:r>
        <w:rPr>
          <w:rFonts w:hint="eastAsia"/>
          <w:sz w:val="24"/>
          <w:szCs w:val="24"/>
          <w:lang w:eastAsia="zh-CN"/>
        </w:rPr>
        <w:t>划定培训重点，明确“三个专”的培训方式，深度开展“六结合”挖掘课程师资，固化了培训成果：深化校本教材的编撰和更新，扩建律师云学院的课件库。</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eastAsia="zh-CN"/>
        </w:rPr>
      </w:pPr>
      <w:r>
        <w:rPr>
          <w:rFonts w:hint="eastAsia"/>
          <w:sz w:val="24"/>
          <w:szCs w:val="24"/>
          <w:lang w:eastAsia="zh-CN"/>
        </w:rPr>
        <w:t>律师学院承担了律师继续教育工作，在新一届的业务研究指导委员会的指导下，明确律师学院的培训内容主要分成实习律师执业考核、律师执业技能方法、律师专题实务和思想政治教育四块。学院根据不同的培训内容和对象开展专题培训、专场培训和专业培训。在师资和课程方面，律师学院开展“六结合”，采取“向内挖、向外找”的方式挖掘好师资新课程。律师学院积极与市律协新一届的专门委员会、专业委员会、区县律工委、资深大律师、知名高校以及同处法律共同体的各个单位合作开展培训。律师学院也在不断的固化教学成果，开展校本教材的编撰和更新工作，积极进行律师云学院课件制作工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eastAsia="zh-CN"/>
        </w:rPr>
        <w:t>在举办律所主任及合伙人培训班时，律师学院积极与业务研究指导委员会、规划规则委员会和律所规范与发展委员会合作，从律师行业到大中小型律所的发展和管理经验都做了分享，与会的律所主任和合伙人即有机会与市司法局分管律师工作的王协副局长亲密接触的机会，又有机会与同行分享沟通交流律所发展思路和管理经验，培训班得到了参训律师的积极肯定。律师学院将于</w:t>
      </w:r>
      <w:r>
        <w:rPr>
          <w:rFonts w:hint="eastAsia"/>
          <w:sz w:val="24"/>
          <w:szCs w:val="24"/>
          <w:lang w:val="en-US" w:eastAsia="zh-CN"/>
        </w:rPr>
        <w:t>2016年计划在与规划规则委和律所规范与发展委合作基础上，与资产与财务委合作举办律所主任培训班，围绕律所财务管理主题开展一期培训。</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在举办远郊律师培训班时，正处在新旧两届理事会班子交替之时，律师学院与远郊区县律工委合作，律师学院在与律工委主任沟通时做了调研，了解当地律师的执业现状，对症下药开展培训，律工委配合律师学院进行培训的组织报名工作。远郊律师培训也是律师学院的传统培训项目，可以视作律协针对远郊律师的一项福利，培训班也一直得到远郊律师的认可和欢迎。</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在举办青年律师拓展培训班时，律师学院积极与青年律师工作委员会合作开展两期培训，主题分别为：诉讼流程规范化以及资本市场法律服务技能。青工委把培训落在对青年律师执业的技能和方法上。随着培训合作的深入，合作单位也在积极增加。第二期青拓班律师学院与青工委还邀请了基金业务研究委员会和公司与商事业务研究委员会协办，共同组建课程。诉讼流程规范化课程设置了9名教练带教9组队员，分角色对3个诉讼案件进行模拟法庭，课程中安排了诉讼相关的实践课程。资本市场法律服务技能设置了5位教练跟别带教</w:t>
      </w:r>
      <w:r>
        <w:rPr>
          <w:rFonts w:hint="eastAsia" w:ascii="宋体" w:hAnsi="宋体" w:eastAsia="宋体" w:cs="宋体"/>
          <w:b w:val="0"/>
          <w:bCs w:val="0"/>
          <w:sz w:val="24"/>
          <w:szCs w:val="24"/>
          <w:lang w:val="en-US" w:eastAsia="zh-CN"/>
        </w:rPr>
        <w:t>主板市场、新三板市场、地方股权市场、私募基金和互联网金融市场。</w:t>
      </w:r>
      <w:r>
        <w:rPr>
          <w:rFonts w:hint="eastAsia"/>
          <w:sz w:val="24"/>
          <w:szCs w:val="24"/>
          <w:lang w:val="en-US" w:eastAsia="zh-CN"/>
        </w:rPr>
        <w:t>学员晚上在专门设置的会场，由教练带教完成模拟法庭以及专业课程的深入学习。律师学院配合青工委，首次在培训中增加了素质拓展项目，根据授课对象不同，安排了针对诉讼律师和非诉律师的素拓项目。</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青拓班的成功举办，也可作为律师学院今后举办类似培训班的样本。在专门委员会的指导下，引入专业委员会开展业务培训，真正做到了在行业指导下进行专业培训。所谓“专人办专事”。</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律师学院的工作一直得到市律协各个业务研究委员会的鼎力支持，今年律师学院不仅积极与各业务研究委员会合作举办各类专题培训班和业务讲座，也在申请律师执业人员培训班第一阶段课程中邀请新一届的各业务研究委员会主任进行授课，介绍该业务领域法律服务现状和基本技能。业余研究委员会汇聚该业务领域的精英，推荐的授课师资和内容贴近律师执业需求，是律师学院的课程和师资的主要来源，智库。</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律师学院今年与律协业务部合作举办了最后一期的“百千千工程”培训班。今年接待了117名来自新疆、陕西、贵州和海南的律师来沪参训。三年来共培训了336名西部地区律师。“百千千工程”培训班涵盖了上海一线知名律师的精品课程，上海特色的社会考察以及上海知名律所的实践活动。其中市律协业务研究委员会提供了质量上乘的业务专题课程，得到了西部律师的一致称赞，这也是三期培训班成功的基础。律师学院为培训班安排了专人全程跟进，服务参训律师，让来沪外地律师有宾至如归之感。</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与此同时，律师学院也与本市资深大律师合作、知名高校和相关司法公同体单位合作。例如在青拓班中律师学院邀请了东方大律师参与“大牌律师面对面”；与复旦大学高级律师学院合作举办“‘依法治国’高层论坛”；邀请最高院、上海高院等多家单位的专家进行专题讲座，深受上海律师的欢迎追捧。</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在固化教学成果方面，律师学院的校本教材已经在申请律师执业人员培训班中作为教材使用，并在集中培训第二阶段安排了刑诉、民诉、劳动争议和非诉专题培训班，邀请了教材主编进行授课。今年下旬律师学院已经将刑诉、民诉和劳动争议教材分别加印了1000册。同时也启动了刑诉、民诉和行政诉讼教材的再版工作。同时律师学院还与银行业务研究委员会、并购重组业务研究委员会和公司与商事业务研究委员会合作，计划与2016年出版三本教材。其中《银行法律师实务》一书初稿已形成，计划于明年3年出版。</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律师学院还在积极制作律师云学院课件，目前律师学院已经累计制作了180门的课件，2015年新录制了47个课件，年内会在网上陆续更新新的课件。更多律师也对网络课程有依赖，云学院的存在也一定程度上缓解了律师学院的培训压力，日渐成为律师培训的重要手段。</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随着市律协的机构设置的完善，律师学院的主要工作逐渐转变为选择合适的合作单位举办一场有质量有秩序的讲座。其精髓就在于“组织与协调”。一场有质量有秩序的讲座需要有质量的课程师资也需要有保障的后勤服务。根据培训前要根据课程内容和授课老师判断讲座的人数，选择合适的场地。在与公司与商事业务研究委员会合作举办“公司与商事论坛”时，论坛共两天，公司委在第二天的课程安排了天同所主任蒋勇介绍互联网加与公司法律服务的内容，律师学院根据课程分别将课程划分为两个部分，第一部分放在律协会场，第二部分蒋勇主讲的课程放在交通大学凯原法学院250人的报告厅内。两场讲座会场均是座无虚席，培训效果良好，得到了主讲嘉宾和公司委的肯定。</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事前万分准备好过事后追悔莫及。一场让人印象深刻效果出众的培训，不仅因为课程过硬，还需要组织方更多的准备。比如在举办青拓班时，因为需要进行素质拓展和教练带教，必须在事前就已经做好学员分组工作，考虑每组人员的分组平均才能让活动顺利开展。教练的带教工作也必须要在事前就完成任务分配。明确不同角色的分工，时间分配和集合地点，让参训者拿到参训须知能够知道“当下我要在哪里干什么”。</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每次培训开始前一小时，我们工作人员肯定已经在现场进行事前准备了。从台前的席卡话筒多媒体，到嘉宾接待的人员场地，到培训签到现场指引都一一确认，一般有一个环节准备不到位，势必会影响整场培训进行的顺利程度。青工委副主任徐培龙律师说：与律师学院合作感觉很轻松。我想这就是对我们学院工作的肯定，也是我们今后工作的努力方向。</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今后律师学院将不断完善信息化建设和“后培训”工作。律师学院已经在年末引入新的电子设备，完善律师电子签到，计划明年在合作开发一套培训网上评估系统，为培训课程打分，形成评估报告反馈给主办方。所谓“后培训”工作，就是要搜集参训的反馈意见形成培训课程评估报告，将优质培训课程总结固化，形成书面文字，在东方律师网、微信平台和相关媒体进行宣传，扩大培训效果和影响，让更多律师了解培训课程。今年《上海律师》上用了4个版面对律师学院与青工委合作举办的第一期青年律师拓展班进行了宣传报道，详细介绍了培训班的情况以及9位教练的带教感言和学员的参训体会，扩大了培训班的影响，也给主办方带来的信心和激情，使得第二期青拓班也得以成功举办。</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sz w:val="24"/>
          <w:szCs w:val="24"/>
          <w:lang w:val="en-US" w:eastAsia="zh-CN"/>
        </w:rPr>
      </w:pPr>
      <w:r>
        <w:rPr>
          <w:rFonts w:hint="eastAsia"/>
          <w:sz w:val="24"/>
          <w:szCs w:val="24"/>
          <w:lang w:val="en-US" w:eastAsia="zh-CN"/>
        </w:rPr>
        <w:t>律师学院在律协领导和各个部门单位的关心下顺利的完成了2015年的工作任务，我们将继续坚守在岗位上，做好每一件小事情。</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right"/>
        <w:textAlignment w:val="auto"/>
        <w:outlineLvl w:val="9"/>
        <w:rPr>
          <w:rFonts w:hint="eastAsia"/>
          <w:b/>
          <w:bCs/>
          <w:sz w:val="24"/>
          <w:szCs w:val="24"/>
          <w:lang w:val="en-US" w:eastAsia="zh-CN"/>
        </w:rPr>
      </w:pP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right"/>
        <w:textAlignment w:val="auto"/>
        <w:outlineLvl w:val="9"/>
        <w:rPr>
          <w:rFonts w:hint="eastAsia"/>
          <w:b/>
          <w:bCs/>
          <w:sz w:val="24"/>
          <w:szCs w:val="24"/>
          <w:lang w:val="en-US" w:eastAsia="zh-CN"/>
        </w:rPr>
      </w:pPr>
      <w:r>
        <w:rPr>
          <w:rFonts w:hint="eastAsia"/>
          <w:b/>
          <w:bCs/>
          <w:sz w:val="24"/>
          <w:szCs w:val="24"/>
          <w:lang w:val="en-US" w:eastAsia="zh-CN"/>
        </w:rPr>
        <w:t>市律协律师学院</w:t>
      </w:r>
    </w:p>
    <w:p>
      <w:pPr>
        <w:keepNext w:val="0"/>
        <w:keepLines w:val="0"/>
        <w:pageBreakBefore w:val="0"/>
        <w:widowControl w:val="0"/>
        <w:numPr>
          <w:ilvl w:val="0"/>
          <w:numId w:val="0"/>
        </w:numPr>
        <w:tabs>
          <w:tab w:val="left" w:pos="210"/>
        </w:tabs>
        <w:kinsoku/>
        <w:wordWrap/>
        <w:overflowPunct/>
        <w:topLinePunct w:val="0"/>
        <w:autoSpaceDE/>
        <w:autoSpaceDN/>
        <w:bidi w:val="0"/>
        <w:adjustRightInd/>
        <w:snapToGrid/>
        <w:spacing w:line="360" w:lineRule="auto"/>
        <w:ind w:left="0" w:leftChars="0" w:right="0" w:rightChars="0" w:firstLine="420" w:firstLineChars="200"/>
        <w:jc w:val="right"/>
        <w:textAlignment w:val="auto"/>
        <w:outlineLvl w:val="9"/>
        <w:rPr>
          <w:rFonts w:hint="eastAsia"/>
          <w:b/>
          <w:bCs/>
          <w:sz w:val="24"/>
          <w:szCs w:val="24"/>
          <w:lang w:val="en-US" w:eastAsia="zh-CN"/>
        </w:rPr>
      </w:pPr>
      <w:r>
        <w:rPr>
          <w:rFonts w:hint="eastAsia"/>
          <w:b/>
          <w:bCs/>
          <w:sz w:val="24"/>
          <w:szCs w:val="24"/>
          <w:lang w:val="en-US" w:eastAsia="zh-CN"/>
        </w:rPr>
        <w:t>2015年12月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10002FF" w:usb1="4000ACFF" w:usb2="00000009"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decorative"/>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roma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隶书">
    <w:panose1 w:val="02010509060101010101"/>
    <w:charset w:val="86"/>
    <w:family w:val="swiss"/>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swiss"/>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swiss"/>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隶书">
    <w:panose1 w:val="02010509060101010101"/>
    <w:charset w:val="86"/>
    <w:family w:val="roman"/>
    <w:pitch w:val="default"/>
    <w:sig w:usb0="00000001" w:usb1="080E0000" w:usb2="00000000" w:usb3="00000000" w:csb0="00040000" w:csb1="00000000"/>
  </w:font>
  <w:font w:name="微软雅黑">
    <w:panose1 w:val="020B0503020204020204"/>
    <w:charset w:val="86"/>
    <w:family w:val="roman"/>
    <w:pitch w:val="default"/>
    <w:sig w:usb0="80000287" w:usb1="280F3C52" w:usb2="00000016" w:usb3="00000000" w:csb0="0004001F"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modern"/>
    <w:pitch w:val="default"/>
    <w:sig w:usb0="80000287" w:usb1="280F3C52" w:usb2="00000016" w:usb3="00000000" w:csb0="0004001F" w:csb1="00000000"/>
  </w:font>
  <w:font w:name="隶书">
    <w:panose1 w:val="02010509060101010101"/>
    <w:charset w:val="86"/>
    <w:family w:val="decorative"/>
    <w:pitch w:val="default"/>
    <w:sig w:usb0="00000001" w:usb1="080E0000" w:usb2="00000000" w:usb3="00000000" w:csb0="00040000" w:csb1="00000000"/>
  </w:font>
  <w:font w:name="微软雅黑">
    <w:panose1 w:val="020B0503020204020204"/>
    <w:charset w:val="86"/>
    <w:family w:val="decorative"/>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AD160D"/>
    <w:rsid w:val="011008C8"/>
    <w:rsid w:val="0EF8359E"/>
    <w:rsid w:val="11805A7E"/>
    <w:rsid w:val="11C32A46"/>
    <w:rsid w:val="1C241D36"/>
    <w:rsid w:val="2E33150D"/>
    <w:rsid w:val="4B9F28EF"/>
    <w:rsid w:val="6043627C"/>
    <w:rsid w:val="72314CE9"/>
    <w:rsid w:val="73AD160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Office_10.1.0.5511_F1E327BC-269C-435d-A152-05C5408002CA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2015-12-07T05:12:00Z</dcterms:created>
  <dc:creator>Administrator</dc:creator>
  <cp:lastModifiedBy>Administrator</cp:lastModifiedBy>
  <cp:lastPrinted>2015-12-08T09:04:00Z</cp:lastPrinted>
  <dcterms:modified xsi:type="dcterms:W3CDTF">2016-03-03T04:02:19Z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2052-10.1.0.5511</vt:lpwstr>
  </property>
</Properties>
</file>